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hohenackeri</w:t>
      </w:r>
      <w:r>
        <w:t xml:space="preserve"> (Craib)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(Kerala, Tamil Nadu, Karnataka, Andhra Pradesh)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hohenackeri</w:t>
      </w:r>
      <w:r>
        <w:t xml:space="preserve"> Craib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hohenackeri</w:t>
      </w:r>
      <w:r>
        <w:t xml:space="preserve"> Craib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hohenackeri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1915:408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hohenackeri</w:t>
      </w:r>
      <w:proofErr w:type="spellEnd"/>
      <w:r>
        <w:t xml:space="preserve"> (Craib)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India. Nilghiris, Khundas Range, Hohenacker 1602 (Herb. Kew et Herb. Mus. Brit.)"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Deshpande et al. 2018: 131): South India, Nilghiris Khundas Range, Hohenacker 1602 (BM000946891). Remaining syntypes: see Deshpande et al. (2018)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‘Hoenackeri’.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