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sublaevis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sublaevis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Uganda, Acholi Distr., Aswa River, Gulu-Kitgum road, Eggeling 775 in F.H. 1161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kirkii subsp. kirkii var. sublaevis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