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pseudoarabica</w:t>
      </w:r>
      <w:r>
        <w:t xml:space="preserve"> Blume ex Miq.</w:t>
      </w:r>
      <w:r w:rsidR="00780DEE" w:rsidRPr="00780DEE">
        <w:rPr>
          <w:i/>
        </w:rPr>
        <w:t xml:space="preserve"> Fl. Ned. Ind.</w:t>
      </w:r>
      <w:proofErr w:type="spellStart"/>
      <w:r w:rsidR="00780DEE">
        <w:t xml:space="preserve"> 1:8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Verdcourt (1979)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?Zippelius, Nov. Guinea</w:t>
      </w:r>
      <w:proofErr w:type="spellEnd"/>
      <w:r w:rsidRPr="009A6983">
        <w:rPr>
          <w:b/>
        </w:rPr>
        <w:t xml:space="preserve"> Source:</w:t>
      </w:r>
      <w:r>
        <w:t xml:space="preserve"> Verdcourt 1979 (172–173)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According to Verdcourt (1979) this name is based on a cultivated specimen of A. (Vachellia) nilotica (L.) Willd. ex Delile. The name was listed as Doubtful by Maslin et al. (2013: 43).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