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sieberiana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villosa</w:t>
      </w:r>
      <w:proofErr w:type="spellEnd"/>
      <w:r>
        <w:t xml:space="preserve"> A.Chev.</w:t>
      </w:r>
      <w:r w:rsidR="00780DEE" w:rsidRPr="00780DEE">
        <w:rPr>
          <w:i/>
        </w:rPr>
        <w:t xml:space="preserve"> Bull. Soc. Bot. France</w:t>
      </w:r>
      <w:proofErr w:type="spellStart"/>
      <w:r w:rsidR="00780DEE">
        <w:t xml:space="preserve"> 74:959</w:t>
      </w:r>
      <w:proofErr w:type="spellEnd"/>
      <w:r w:rsidR="00780DEE">
        <w:t xml:space="preserve"> (1927)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sieberiana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villosa</w:t>
      </w:r>
      <w:proofErr w:type="spellEnd"/>
      <w:r>
        <w:t xml:space="preserve"> (A.Chev.)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Haute Volta (Burkina Faso), Ouré, Chevalier 700 (P); isotype: K</w:t>
      </w:r>
      <w:proofErr w:type="spellEnd"/>
      <w:r w:rsidRPr="009A6983">
        <w:rPr>
          <w:b/>
        </w:rPr>
        <w:t xml:space="preserve"> Source:</w:t>
      </w:r>
      <w:r>
        <w:t xml:space="preserve"> Kyalangalilwa et al. (2013: 517)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