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angustifolia</w:t>
      </w:r>
      <w:r>
        <w:t xml:space="preserve"> (Lam.) Desf.</w:t>
      </w:r>
      <w:r w:rsidR="00780DEE" w:rsidRPr="00780DEE">
        <w:rPr>
          <w:i/>
        </w:rPr>
        <w:t xml:space="preserve"> Tabl. Ecole Bot., ed. 2</w:t>
      </w:r>
      <w:proofErr w:type="spellStart"/>
      <w:r w:rsidR="00780DEE">
        <w:t xml:space="preserve"> :208</w:t>
      </w:r>
      <w:proofErr w:type="spellEnd"/>
      <w:r w:rsidR="00780DEE">
        <w:t xml:space="preserve"> (1815)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et al. (2006: 49) &amp;amp; (2014: 99)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Mimosa angustifolia</w:t>
      </w:r>
      <w:proofErr w:type="spellEnd"/>
      <w:r>
        <w:t xml:space="preserve"> Lam.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angustifolia</w:t>
      </w:r>
      <w:r>
        <w:t xml:space="preserve"> Lam.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