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oerfota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50:334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brevifolia</w:t>
      </w:r>
      <w:proofErr w:type="spellEnd"/>
      <w:r>
        <w:t xml:space="preserve"> (Boulos)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 Yemen, J.R.I. Wood 3089 (holotypus K, isotypus BM."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Yemen, J.R.I. Wood 3089 (K); isotype: BM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