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oerfota</w:t>
      </w:r>
      <w:r>
        <w:t xml:space="preserve"> Forssk.</w:t>
      </w:r>
      <w:r w:rsidR="00780DEE" w:rsidRPr="00780DEE">
        <w:rPr>
          <w:i/>
        </w:rPr>
        <w:t xml:space="preserve"> Fl. Aegypt.-Arab.</w:t>
      </w:r>
      <w:proofErr w:type="spellStart"/>
      <w:r w:rsidR="00780DEE">
        <w:t xml:space="preserve"> :177</w:t>
      </w:r>
      <w:proofErr w:type="spellEnd"/>
      <w:r w:rsidR="00780DEE">
        <w:t xml:space="preserve"> (1775)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oerfota</w:t>
      </w:r>
      <w:proofErr w:type="spellEnd"/>
      <w:r>
        <w:t xml:space="preserve"> (Forssk.)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Yemen, Dahi, Forsskal s.n. (missing from C, comment based on Ross 1979)</w:t>
      </w:r>
      <w:proofErr w:type="spellEnd"/>
      <w:r w:rsidRPr="009A6983">
        <w:rPr>
          <w:b/>
        </w:rPr>
        <w:t xml:space="preserve"> Source:</w:t>
      </w:r>
      <w:r>
        <w:t xml:space="preserve"> Kyalangalilwa et al. (2013: 515)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The orginal spelling of the epithet used a diacritic sign, which is to be transcribed as oe (following Article 60.6 of the International Code of Nomenclature).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