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simplex</w:t>
      </w:r>
      <w:r>
        <w:t xml:space="preserve"> Sparrm.</w:t>
      </w:r>
      <w:r w:rsidR="00780DEE" w:rsidRPr="00780DEE">
        <w:rPr>
          <w:i/>
        </w:rPr>
        <w:t xml:space="preserve"> Nova Acta Regiae Soc. Sci. Upsal.</w:t>
      </w:r>
      <w:proofErr w:type="spellStart"/>
      <w:r w:rsidR="00780DEE">
        <w:t xml:space="preserve"> 3:195</w:t>
      </w:r>
      <w:proofErr w:type="spellEnd"/>
      <w:r w:rsidR="00780DEE">
        <w:t xml:space="preserve"> (1780)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Pedley (1975: 10)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simplex</w:t>
      </w:r>
      <w:proofErr w:type="spellEnd"/>
      <w:r>
        <w:t xml:space="preserve"> (Sparrm.) Pedley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Smith, Fl. Vit. Nova 3: 73, 1985; treated by Pedley 1975: 10 as holotype): Tanna [Island, Vanuatu], J.R. &amp; G. Forster (BM n.v., see Pedley 1975 &amp; Smith 1985). Excluded syntypes (often without locality): FR [barcode FR0031084 – two detached phyllodes only], GOET [barcode GOET012766], M [barcode M0218399], P n.v. (see Pedley 1975: 10 &amp; Smith 1985: 73).</w:t>
      </w:r>
      <w:proofErr w:type="spellEnd"/>
      <w:r w:rsidRPr="009A6983">
        <w:rPr>
          <w:b/>
        </w:rPr>
        <w:t xml:space="preserve"> Source:</w:t>
      </w:r>
      <w:r>
        <w:t xml:space="preserve"> Maslin &amp; Thomson (2020, unpublished)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