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 [beta]</w:t>
      </w:r>
      <w:proofErr w:type="spellEnd"/>
      <w:r>
        <w:t xml:space="preserve"> Hillebr.</w:t>
      </w:r>
      <w:r w:rsidR="00780DEE" w:rsidRPr="00780DEE">
        <w:rPr>
          <w:i/>
        </w:rPr>
        <w:t xml:space="preserve"> Fl. Hawaiian Isl.</w:t>
      </w:r>
      <w:proofErr w:type="spellStart"/>
      <w:r w:rsidR="00780DEE">
        <w:t xml:space="preserve"> :113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Without definite locality, ex herb. Hillebrand (BISH)</w:t>
      </w:r>
      <w:proofErr w:type="spellEnd"/>
      <w:r w:rsidRPr="009A6983">
        <w:rPr>
          <w:b/>
        </w:rPr>
        <w:t xml:space="preserve"> Source:</w:t>
      </w:r>
      <w:r>
        <w:t xml:space="preserve"> Pedley (1975: 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