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heterophylla</w:t>
      </w:r>
      <w:r>
        <w:t xml:space="preserve"> Lam.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1:14</w:t>
      </w:r>
      <w:proofErr w:type="spellEnd"/>
      <w:r w:rsidR="00780DEE">
        <w:t xml:space="preserve"> (1783)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(1975: 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r>
        <w:t xml:space="preserve"> (Lam.)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Mascareignes, Bourbon, Commerson s.n. (P-LA); isotypes: G, K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