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Pithecellobium zanzibaricum</w:t>
      </w:r>
      <w:r>
        <w:t xml:space="preserve"> S.Moore</w:t>
      </w:r>
      <w:r w:rsidR="00780DEE" w:rsidRPr="00780DEE">
        <w:rPr>
          <w:i/>
        </w:rPr>
        <w:t xml:space="preserve"> J. Bot.</w:t>
      </w:r>
      <w:proofErr w:type="spellStart"/>
      <w:r w:rsidR="00780DEE">
        <w:t xml:space="preserve"> 15:292</w:t>
      </w:r>
      <w:proofErr w:type="spellEnd"/>
      <w:r w:rsidR="00780DEE">
        <w:t xml:space="preserve"> (1877)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zanzibarica</w:t>
      </w:r>
      <w:proofErr w:type="spellEnd"/>
      <w:r>
        <w:t xml:space="preserve"> (S.Moore)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Kenya, Mombasa, Hildebrandt 1939 (K); isotype: BM</w:t>
      </w:r>
      <w:proofErr w:type="spellEnd"/>
      <w:r w:rsidRPr="009A6983">
        <w:rPr>
          <w:b/>
        </w:rPr>
        <w:t xml:space="preserve"> Source:</w:t>
      </w:r>
      <w:r>
        <w:t xml:space="preserve"> Ross (1979: 88)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