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tortilis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raddiana</w:t>
      </w:r>
      <w:proofErr w:type="spellEnd"/>
      <w:r>
        <w:t xml:space="preserve"> (Savi)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12:87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Kyalangalilwa et al. (2013: 517)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raddiana</w:t>
      </w:r>
      <w:proofErr w:type="spellEnd"/>
      <w:r>
        <w:t xml:space="preserve"> (Savi)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subspecies comprises two varieties, var. raddiana and var. pubescens Chev.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raddiana</w:t>
      </w:r>
      <w:r>
        <w:t xml:space="preserve"> Savi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