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P.J.H.Hurter &amp; Mabb.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172:515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nilotica subsp. adstringens &amp; fiver other subspecies by Kyalangalilwa &amp; Boatwright in Bot. J. Linn. Soc. 172: 515 (2013).</w:t>
      </w:r>
    </w:p>
    <w:p w:rsidR="009A6983" w:rsidRPr="009A6983" w:rsidRDefault="009A6983">
      <w:r>
        <w:rPr>
          <w:b/>
        </w:rPr>
        <w:t>Distribution:</w:t>
      </w:r>
      <w:r>
        <w:t xml:space="preserve"> AFRICA [N]: Chad, Egypt, Ethiopia, Mali, Niger, Nigeria, Senegal, Sudan. ARABIAN PENINSULA [N]: Oman, Saudi Arabia, South Yemen. INDIAN OCEAN: Mauritius [U], Rodrigues [I]. INDIAN SUBCONTINENT: India [D], Pakistan [N], Sri Lanka [D]. WEST ASIA [N]: Iran, Iraq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9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nilotica</w:t>
      </w:r>
      <w:r>
        <w:t xml:space="preserve"> (L.) Willd. ex. Delile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nilotica</w:t>
      </w:r>
      <w:proofErr w:type="spellEnd"/>
      <w:r>
        <w:t xml:space="preserve"> (L.) Willd. ex. Delile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12:84-86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Deshpande (2019: 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nilotica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nilotica subsp. tomentosa and five other subspecies by Brenan in Kew Bull. 12: 84-86 (1957).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