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kosiensis</w:t>
      </w:r>
      <w:r>
        <w:t xml:space="preserve"> (P.P.Sw. ex Coates Palgr.)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kosiensis</w:t>
      </w:r>
      <w:r>
        <w:t xml:space="preserve"> P.P.Sw.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kosiensis</w:t>
      </w:r>
      <w:r>
        <w:t xml:space="preserve"> P.P.Sw.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kosiensis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:19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kosiensis</w:t>
      </w:r>
      <w:proofErr w:type="spellEnd"/>
      <w:r>
        <w:t xml:space="preserve"> (P.P.Sw. ex Coates Palgr.)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Kwa-Zulu Natal, Lake Sibayi, Vorster 2720 (PRE);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