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torta</w:t>
      </w:r>
      <w:r>
        <w:t xml:space="preserve"> (Roxb.) Craib</w:t>
      </w:r>
      <w:r w:rsidR="00780DEE" w:rsidRPr="00780DEE">
        <w:rPr>
          <w:i/>
        </w:rPr>
        <w:t xml:space="preserve"> Bull. Misc. Inform. Kew</w:t>
      </w:r>
      <w:proofErr w:type="spellStart"/>
      <w:r w:rsidR="00780DEE">
        <w:t xml:space="preserve"> 1915:410</w:t>
      </w:r>
      <w:proofErr w:type="spellEnd"/>
      <w:r w:rsidR="00780DEE">
        <w:t xml:space="preserve"> (1915)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Maslin et al. (2013: 42); Deshpande et al. (2019: 9)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torta</w:t>
      </w:r>
      <w:proofErr w:type="spellEnd"/>
      <w:r>
        <w:t xml:space="preserve"> (Roxb.) Maslin, Seigler &amp; Ebinger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Mimosa torta</w:t>
      </w:r>
      <w:r>
        <w:t xml:space="preserve"> Roxb.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