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dyeri</w:t>
      </w:r>
      <w:r>
        <w:t xml:space="preserve"> (P.P.Sw.)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172:512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South Africa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dyeri</w:t>
      </w:r>
      <w:r>
        <w:t xml:space="preserve"> P.P.Sw.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dyeri</w:t>
      </w:r>
      <w:r>
        <w:t xml:space="preserve"> P.P.Sw.</w:t>
      </w:r>
      <w:r>
        <w:t xml:space="preserve"> (2002)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dyeri</w:t>
      </w:r>
      <w:r>
        <w:t xml:space="preserve"> P.P.Sw.</w:t>
      </w:r>
      <w:r w:rsidR="00780DEE" w:rsidRPr="00780DEE">
        <w:rPr>
          <w:i/>
        </w:rPr>
        <w:t xml:space="preserve"> Trees of southern Africa</w:t>
      </w:r>
      <w:proofErr w:type="spellStart"/>
      <w:r w:rsidR="00780DEE">
        <w:t xml:space="preserve"> :19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dyeri</w:t>
      </w:r>
      <w:proofErr w:type="spellEnd"/>
      <w:r>
        <w:t xml:space="preserve"> (P.P.Sw.)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Eastern Cape, Butterworth District, Kei Mouth, Robbertse 871 (PRE); isotype: PRU</w:t>
      </w:r>
      <w:proofErr w:type="spellEnd"/>
      <w:r w:rsidRPr="009A6983">
        <w:rPr>
          <w:b/>
        </w:rPr>
        <w:t xml:space="preserve"> Source:</w:t>
      </w:r>
      <w:r>
        <w:t xml:space="preserve"> Kyalangalilwa et al. (2013: 512)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