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welwitschii</w:t>
      </w:r>
      <w:r>
        <w:t xml:space="preserve"> (Oliv.)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Angola, Malawi, Mozambique, South Africa, Zimbabwe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(subsp.delagoensis, subsp.welwitschii)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welwitschii</w:t>
      </w:r>
      <w:r>
        <w:t xml:space="preserve"> Oliv.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welwitschii</w:t>
      </w:r>
      <w:r>
        <w:t xml:space="preserve"> Oliv.</w:t>
      </w:r>
      <w:r>
        <w:t xml:space="preserve"> (1871)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welwitschii</w:t>
      </w:r>
      <w:r>
        <w:t xml:space="preserve">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2:341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welwitschii</w:t>
      </w:r>
      <w:proofErr w:type="spellEnd"/>
      <w:r>
        <w:t xml:space="preserve"> (Oliv.)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Ross 1979: 78): Angola, Luanda Distr., Barra de Bengo, entre Mutolo e Cacuaco, prox. De Quicuxe, Welwitsch 1806 (LISU). Remaining syntypes: BM, K, P</w:t>
      </w:r>
      <w:proofErr w:type="spellEnd"/>
      <w:r w:rsidRPr="009A6983">
        <w:rPr>
          <w:b/>
        </w:rPr>
        <w:t xml:space="preserve"> Source:</w:t>
      </w:r>
      <w:r>
        <w:t xml:space="preserve"> Ross (1979: 78)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