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ogadensis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ogadensis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ogadensis</w:t>
      </w:r>
      <w:r>
        <w:t xml:space="preserve"> Chiov.</w:t>
      </w:r>
      <w:r>
        <w:t xml:space="preserve"> (1915)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Albizia ogadensis</w:t>
      </w:r>
      <w:r>
        <w:t xml:space="preserve"> (Chiov.) Baker f. ex Chiov.</w:t>
      </w:r>
      <w:r>
        <w:t xml:space="preserve"> (1932)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ogadensis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13:393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ogadensis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Somalia, Ogaden, Robecchi-Brichetti 594 (FI). (2) between 'Bardera' and 'Marda', Paoli 811 (FI), Paoli 812 (FI)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509); Thulin (1993: 374)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Albizia ogadensis</w:t>
      </w:r>
      <w:r>
        <w:t xml:space="preserve"> (Chiov.) Baker f. ex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ogadensis</w:t>
      </w:r>
      <w:proofErr w:type="spellEnd"/>
      <w:r>
        <w:t xml:space="preserve"> (Chiov.)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ogadensis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