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hemispherica</w:t>
      </w:r>
      <w:proofErr w:type="spellEnd"/>
      <w:r>
        <w:t xml:space="preserve"> (Ali &amp; Faruqi) Ali</w:t>
      </w:r>
      <w:r w:rsidR="00780DEE" w:rsidRPr="00780DEE">
        <w:rPr>
          <w:i/>
        </w:rPr>
        <w:t xml:space="preserve"> Pakistan J. Bot.</w:t>
      </w:r>
      <w:proofErr w:type="spellStart"/>
      <w:r w:rsidR="00780DEE">
        <w:t xml:space="preserve"> 46(1):2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INDIAN SUBCONTINENT [N]: Pakistan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9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nilotica</w:t>
      </w:r>
      <w:r>
        <w:t xml:space="preserve"> subsp.</w:t>
      </w:r>
      <w:r w:rsidRPr="00815E7D">
        <w:rPr>
          <w:i/>
        </w:rPr>
        <w:t xml:space="preserve"> hemispherica</w:t>
      </w:r>
      <w:r>
        <w:t xml:space="preserve"> Ali &amp; Faruqi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nilotica</w:t>
      </w:r>
      <w:r w:rsidR="00041308">
        <w:t xml:space="preserve"> subsp.</w:t>
      </w:r>
      <w:r w:rsidR="00041308" w:rsidRPr="00815E7D">
        <w:rPr>
          <w:i/>
        </w:rPr>
        <w:t xml:space="preserve"> hemispherica</w:t>
      </w:r>
      <w:r>
        <w:t xml:space="preserve"> Ali &amp; Faruqi</w:t>
      </w:r>
      <w:r>
        <w:t xml:space="preserve"> (1969)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Vachellia nilotica</w:t>
      </w:r>
      <w:r w:rsidR="00041308">
        <w:t xml:space="preserve"> subsp.</w:t>
      </w:r>
      <w:r w:rsidR="00041308" w:rsidRPr="00815E7D">
        <w:rPr>
          <w:i/>
        </w:rPr>
        <w:t xml:space="preserve"> hemispherica</w:t>
      </w:r>
      <w:r>
        <w:t xml:space="preserve"> (Ali &amp; Faruqi) Ragup., Seigler, Ebinger &amp; Maslin</w:t>
      </w:r>
      <w:r>
        <w:t xml:space="preserve"> (2014)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hemispherica</w:t>
      </w:r>
      <w:proofErr w:type="spellEnd"/>
      <w:r>
        <w:t xml:space="preserve"> Ali &amp; Faruqi</w:t>
      </w:r>
      <w:r w:rsidR="00780DEE" w:rsidRPr="00780DEE">
        <w:rPr>
          <w:i/>
        </w:rPr>
        <w:t xml:space="preserve"> Pakistan J. Bot.</w:t>
      </w:r>
      <w:proofErr w:type="spellStart"/>
      <w:r w:rsidR="00780DEE">
        <w:t xml:space="preserve"> 1:4</w:t>
      </w:r>
      <w:proofErr w:type="spellEnd"/>
      <w:r w:rsidR="00780DEE">
        <w:t xml:space="preserve"> (1969)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hemispherica</w:t>
      </w:r>
      <w:proofErr w:type="spellEnd"/>
      <w:r>
        <w:t xml:space="preserve"> (Ali &amp; Faruqi) Ali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"Holotype: Plant semicircular in outline, upto 10 yards wide, c. 10 ft. tall, c. 2 miles ahead of Paradise Point, Karachi, 6.4.65, S.I. Ali (KUH)"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hemispherica</w:t>
      </w:r>
      <w:proofErr w:type="spellEnd"/>
      <w:r>
        <w:t xml:space="preserve"> (Ali &amp; Faruqi)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162(3):177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hemispherica</w:t>
      </w:r>
      <w:proofErr w:type="spellEnd"/>
      <w:r>
        <w:t xml:space="preserve"> (Ali &amp; Faruqi) Ali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nilotica</w:t>
      </w:r>
      <w:r>
        <w:t xml:space="preserve"> subsp.</w:t>
      </w:r>
      <w:r w:rsidRPr="00815E7D">
        <w:rPr>
          <w:i/>
        </w:rPr>
        <w:t xml:space="preserve"> hemispherica</w:t>
      </w:r>
      <w:r>
        <w:t xml:space="preserve"> Ali &amp; Faruqi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