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megaladena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garrettii</w:t>
      </w:r>
      <w:proofErr w:type="spellEnd"/>
      <w:r>
        <w:t xml:space="preserve"> (I.C.Nielsen)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Maslin et al. (2019: 386)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garrettii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(I.C.Nielsen) Maslin, B.C.Ho, H.Sun &amp; L.Bai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megaladena</w:t>
      </w:r>
      <w:r>
        <w:t xml:space="preserve"> var.</w:t>
      </w:r>
      <w:r w:rsidRPr="00815E7D">
        <w:rPr>
          <w:i/>
        </w:rPr>
        <w:t xml:space="preserve"> garrettii</w:t>
      </w:r>
      <w:r>
        <w:t xml:space="preserve"> I.C.Nielsen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