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canescens</w:t>
      </w:r>
      <w:proofErr w:type="spellEnd"/>
      <w:r>
        <w:t xml:space="preserve"> Graham ex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2:298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Maslin (2012: 466)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”Grah. in Wall. Cat. n. 5256”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Graham ex Kurz (1877).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