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catechu</w:t>
      </w:r>
      <w:proofErr w:type="spellStart"/>
      <w:r w:rsidRPr="007C1DDC">
        <w:rPr>
          <w:b/>
        </w:rPr>
        <w:t xml:space="preserve"> f.</w:t>
      </w:r>
      <w:proofErr w:type="spellEnd"/>
      <w:proofErr w:type="spellStart"/>
      <w:r w:rsidRPr="007C1DDC">
        <w:rPr>
          <w:b/>
          <w:i/>
        </w:rPr>
        <w:t xml:space="preserve"> catechuoides</w:t>
      </w:r>
      <w:proofErr w:type="spellEnd"/>
      <w:r>
        <w:t xml:space="preserve"> (Roxb.) Prain ex I.C.Nielsen</w:t>
      </w:r>
      <w:r w:rsidR="00780DEE" w:rsidRPr="00780DEE">
        <w:rPr>
          <w:i/>
        </w:rPr>
        <w:t xml:space="preserve"> Fl. Thailand</w:t>
      </w:r>
      <w:proofErr w:type="spellStart"/>
      <w:r w:rsidR="00780DEE">
        <w:t xml:space="preserve"> 4(2):157</w:t>
      </w:r>
      <w:proofErr w:type="spellEnd"/>
      <w:r w:rsidR="00780DEE">
        <w:t xml:space="preserve"> (1985)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This name appears in Nielsen’s key to species and it is assumed that he was referring to Prain’s discussion of variation within A. catechu in J. Asiat. Soc. Bengal, Pt. 2, Nat. Hist. 66: 508 (1897). In that work Prain was equivocal as to the rank of A. catechuoides, suggesting that it could be regarded either as a ‘form’ of A. catechu or as a cryptic species in its own right; he did not make any infraspecific combination. The combination cannot be regarded as having been made by Nielsen because that author did not make a direct reference to the basionym, see Article 33.4 of the 2006 International Code of Botanical Nomenclature.</w:t>
      </w:r>
    </w:p>
    <w:p w:rsidR="00F52DD3" w:rsidRDefault="00F52DD3">
      <w:r>
        <w:rPr>
          <w:b/>
        </w:rPr>
        <w:t>Based On:</w:t>
      </w:r>
      <w:r>
        <w:rPr>
          <w:i/>
        </w:rPr>
        <w:t xml:space="preserve"> Mimosa catechuoides</w:t>
      </w:r>
      <w:r>
        <w:t xml:space="preserve"> Roxb.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