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Mimosa rugata</w:t>
      </w:r>
      <w:r>
        <w:t xml:space="preserve"> Lam.</w:t>
      </w:r>
      <w:r w:rsidR="00780DEE" w:rsidRPr="00780DEE">
        <w:rPr>
          <w:i/>
        </w:rPr>
        <w:t xml:space="preserve"> Encycl.</w:t>
      </w:r>
      <w:proofErr w:type="spellStart"/>
      <w:r w:rsidR="00780DEE">
        <w:t xml:space="preserve"> 1:20</w:t>
      </w:r>
      <w:proofErr w:type="spellEnd"/>
      <w:r w:rsidR="00780DEE">
        <w:t xml:space="preserve"> (1783)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Maslin et al. (2019: 437); Maslin et al. (2013: 41)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rugata</w:t>
      </w:r>
      <w:proofErr w:type="spellEnd"/>
      <w:r>
        <w:t xml:space="preserve"> (Lam.) Britton &amp; Rose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"Cet arbre croît dans l'Inde, &amp; m'a été communiqué par M. Sonnerat."</w:t>
      </w:r>
      <w:proofErr w:type="spellEnd"/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Cet arbre croit dans l'Inde, &amp; m'a ete communique par M. Sonnerat." s.d., s. coll. s.n. (P-LA [barcode P00297138])</w:t>
      </w:r>
      <w:proofErr w:type="spellEnd"/>
      <w:r w:rsidRPr="009A6983">
        <w:rPr>
          <w:b/>
        </w:rPr>
        <w:t xml:space="preserve"> Source:</w:t>
      </w:r>
      <w:r>
        <w:t xml:space="preserve"> Seigler et al. (2014: 103); see also Nielsen (1980: 348 &amp; 1985: 12); Maslin et al. (2019: 437)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