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pluricapitata</w:t>
      </w:r>
      <w:proofErr w:type="spellEnd"/>
      <w:r>
        <w:t xml:space="preserve"> (Steud. ex Benth.)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2(5):298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(1981: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 ex Benth.)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pluricapitata</w:t>
      </w:r>
      <w:r>
        <w:t xml:space="preserve"> Steud.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