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walwalensis</w:t>
      </w:r>
      <w:r>
        <w:t xml:space="preserve"> Gilliland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6:140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walwalensis</w:t>
      </w:r>
      <w:proofErr w:type="spellEnd"/>
      <w:r>
        <w:t xml:space="preserve"> (Gilliland)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Ogaden, between Wardere and Walwal, Glover &amp; Gilliland 392 (K); isotypes: BM, FHO, PRE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