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tomentosa</w:t>
      </w:r>
      <w:r>
        <w:t xml:space="preserve"> Rottler</w:t>
      </w:r>
      <w:r w:rsidR="00780DEE" w:rsidRPr="00780DEE">
        <w:rPr>
          <w:i/>
        </w:rPr>
        <w:t xml:space="preserve"> Ges. Naturf. Freunde Berlin Neue Schriften</w:t>
      </w:r>
      <w:proofErr w:type="spellStart"/>
      <w:r w:rsidR="00780DEE">
        <w:t xml:space="preserve"> 4:208</w:t>
      </w:r>
      <w:proofErr w:type="spellEnd"/>
      <w:r w:rsidR="00780DEE">
        <w:t xml:space="preserve"> (1803)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Maslin et al. (2013: 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tomentosa</w:t>
      </w:r>
      <w:proofErr w:type="spellEnd"/>
      <w:r>
        <w:t xml:space="preserve"> (Rottler) Maslin,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"Marmelon Octobr 16, 1799"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In Maslin et al 2013 the type locality was interpreted as "Marmelon [Tharangambadi (formerly Tranquebar), Tamil Nadu, SE India]", however, Marmelon is more likely to be Mambalam area in Tamil Nadu (A.Deshpande pers. comm.).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