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tomentosa</w:t>
      </w:r>
      <w:r>
        <w:t xml:space="preserve"> (Willd.) Roxb.</w:t>
      </w:r>
      <w:r w:rsidR="00780DEE" w:rsidRPr="00780DEE">
        <w:rPr>
          <w:i/>
        </w:rPr>
        <w:t xml:space="preserve"> Fl. Ind. Ed. 2,</w:t>
      </w:r>
      <w:proofErr w:type="spellStart"/>
      <w:r w:rsidR="00780DEE">
        <w:t xml:space="preserve"> 2:558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Sanjappa (1992: 44); Deshpande et al. (2019: 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tomentosa</w:t>
      </w:r>
      <w:proofErr w:type="spellEnd"/>
      <w:r>
        <w:t xml:space="preserve"> (Rottler) Maslin,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Rottler (1803).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tomentosa</w:t>
      </w:r>
      <w:r>
        <w:t xml:space="preserve">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