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leucophloea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melanochaetes</w:t>
      </w:r>
      <w:proofErr w:type="spellEnd"/>
      <w:r>
        <w:t xml:space="preserve"> (Zoll. &amp; Moritzi)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(Roxb.)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melanochaetes</w:t>
      </w:r>
      <w:r>
        <w:t xml:space="preserve"> Zoll. &amp; Moritzi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