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leucophloea</w:t>
      </w:r>
      <w:r>
        <w:t xml:space="preserve">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2:27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"It is native of dry mountainous countries."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345) [icon]: Roxburgh, Pl Corom. 2: tab. 150 (1800)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