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Nimiria siamensis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1927:393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siamensis</w:t>
      </w:r>
      <w:proofErr w:type="spellEnd"/>
      <w:r>
        <w:t xml:space="preserve"> (Craib)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Sisawat, 150 m, open deciduous forest, Kerr 10180 (K); isotypes: ABD, BM</w:t>
      </w:r>
      <w:proofErr w:type="spellEnd"/>
      <w:r w:rsidRPr="009A6983">
        <w:rPr>
          <w:b/>
        </w:rPr>
        <w:t xml:space="preserve"> Source:</w:t>
      </w:r>
      <w:r>
        <w:t xml:space="preserve"> Nielsen (1980: 344)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