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erioloba</w:t>
      </w:r>
      <w:r>
        <w:t xml:space="preserve"> (E.Mey.)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92(1):92</w:t>
      </w:r>
      <w:proofErr w:type="spellEnd"/>
      <w:r w:rsidR="00780DEE">
        <w:t xml:space="preserve"> (2010)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r>
        <w:t xml:space="preserve"> (E.Mey.) P.J.H.Hurter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(E.Mey.) P.Hurter (2008).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erioloba</w:t>
      </w:r>
      <w:r>
        <w:t xml:space="preserve"> E.Mey.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