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incerta</w:t>
      </w:r>
      <w:r>
        <w:t xml:space="preserve"> (Hoehne)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92(1):91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(2018: 257)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incerta</w:t>
      </w:r>
      <w:proofErr w:type="spellEnd"/>
      <w:r>
        <w:t xml:space="preserve"> (Hoehne)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incerta</w:t>
      </w:r>
      <w:r>
        <w:t xml:space="preserve"> Hoehne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