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fumosa</w:t>
      </w:r>
      <w:r>
        <w:t xml:space="preserve"> Thulin</w:t>
      </w:r>
      <w:r w:rsidR="00780DEE" w:rsidRPr="00780DEE">
        <w:rPr>
          <w:i/>
        </w:rPr>
        <w:t xml:space="preserve"> Nordic J. Bot.</w:t>
      </w:r>
      <w:proofErr w:type="spellStart"/>
      <w:r w:rsidR="00780DEE">
        <w:t xml:space="preserve"> 25:272</w:t>
      </w:r>
      <w:proofErr w:type="spellEnd"/>
      <w:r w:rsidR="00780DEE">
        <w:t xml:space="preserve"> (2007)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fumosa</w:t>
      </w:r>
      <w:proofErr w:type="spellEnd"/>
      <w:r>
        <w:t xml:space="preserve"> (Thulin)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Somali National Regional State, Harerge, 22 km from Qarsonney along road to Kebri Dehar, Thulin, Kaariye &amp; Wilhelmi 11136 (ETH); isotypes: K, UPS</w:t>
      </w:r>
      <w:proofErr w:type="spellEnd"/>
      <w:r w:rsidRPr="009A6983">
        <w:rPr>
          <w:b/>
        </w:rPr>
        <w:t xml:space="preserve"> Source:</w:t>
      </w:r>
      <w:r>
        <w:t xml:space="preserve"> Kyalangalilwa et al. (2013: 508)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