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riograndensis</w:t>
      </w:r>
      <w:r>
        <w:t xml:space="preserve"> (Atahuachi &amp; L.Rico) Seigler &amp; Ebinger</w:t>
      </w:r>
      <w:r w:rsidR="00780DEE" w:rsidRPr="00780DEE">
        <w:rPr>
          <w:i/>
        </w:rPr>
        <w:t xml:space="preserve"> Phytologia</w:t>
      </w:r>
      <w:proofErr w:type="spellStart"/>
      <w:r w:rsidR="00780DEE">
        <w:t xml:space="preserve"> 91(1):28</w:t>
      </w:r>
      <w:proofErr w:type="spellEnd"/>
      <w:r w:rsidR="00780DEE">
        <w:t xml:space="preserve"> (2009)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Seigler et al. (2017: 201)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Pseudosenegalia riograndensis</w:t>
      </w:r>
      <w:proofErr w:type="spellEnd"/>
      <w:r>
        <w:t xml:space="preserve"> (Atahuachi &amp; L.Rico) Seigler &amp; Ebinger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riograndensis</w:t>
      </w:r>
      <w:r>
        <w:t xml:space="preserve"> Atahuachi &amp; L.Rico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