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rhytidocarpa</w:t>
      </w:r>
      <w:r>
        <w:t xml:space="preserve"> (L.Rico)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91(1):28</w:t>
      </w:r>
      <w:proofErr w:type="spellEnd"/>
      <w:r w:rsidR="00780DEE">
        <w:t xml:space="preserve"> (2009)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CENTRAL AMERICA [N]: Belize, Panama. SOUTH AMERICA [N]: Bolivia, Brazil, Colombia, Ecuador, Peru, Venezuela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polyphylla</w:t>
      </w:r>
      <w:r>
        <w:t xml:space="preserve"> var.</w:t>
      </w:r>
      <w:r w:rsidRPr="00815E7D">
        <w:rPr>
          <w:i/>
        </w:rPr>
        <w:t xml:space="preserve"> rhytidocarpa</w:t>
      </w:r>
      <w:r>
        <w:t xml:space="preserve"> L.Rico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polyphylla</w:t>
      </w:r>
      <w:r w:rsidR="00041308">
        <w:t xml:space="preserve"> var.</w:t>
      </w:r>
      <w:r w:rsidR="00041308" w:rsidRPr="00815E7D">
        <w:rPr>
          <w:i/>
        </w:rPr>
        <w:t xml:space="preserve"> rhytidocarpa</w:t>
      </w:r>
      <w:r>
        <w:t xml:space="preserve"> L.Rico</w:t>
      </w:r>
      <w:r>
        <w:t xml:space="preserve"> (2006)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polyphylla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rhytidocarpa</w:t>
      </w:r>
      <w:proofErr w:type="spellEnd"/>
      <w:r>
        <w:t xml:space="preserve"> L.Rico</w:t>
      </w:r>
      <w:r w:rsidR="00780DEE" w:rsidRPr="00780DEE">
        <w:rPr>
          <w:i/>
        </w:rPr>
        <w:t xml:space="preserve"> Anales Jard. Bot. Madrid</w:t>
      </w:r>
      <w:proofErr w:type="spellStart"/>
      <w:r w:rsidR="00780DEE">
        <w:t xml:space="preserve"> 63(1):28-30</w:t>
      </w:r>
      <w:proofErr w:type="spellEnd"/>
      <w:r w:rsidR="00780DEE">
        <w:t xml:space="preserve"> (2006)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&amp;amp; Ebinger (2009: 28)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rhytidocarpa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(L.Rico)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BOLIVIA. BENI. Provincia Ballivian, 35 km carretera Yucumo-Rurrenabaque, Colegio Técnico Agropecuario, río Colorado, 67° 05’ W, 14° 50’ S, D.N. Smith et al. 13586 (LPB); isotypes: G, K, MO</w:t>
      </w:r>
      <w:proofErr w:type="spellEnd"/>
      <w:r w:rsidRPr="009A6983">
        <w:rPr>
          <w:b/>
        </w:rPr>
        <w:t xml:space="preserve"> Source:</w:t>
      </w:r>
      <w:r>
        <w:t xml:space="preserve"> Seigler &amp; Ebinger (2009: 28)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