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lowei</w:t>
      </w:r>
      <w:r>
        <w:t xml:space="preserve"> L.Rico</w:t>
      </w:r>
      <w:r w:rsidR="00780DEE" w:rsidRPr="00780DEE">
        <w:rPr>
          <w:i/>
        </w:rPr>
        <w:t xml:space="preserve"> Checklist and Synopsis of American Species of Acacia (Leguminosae: Mimosoideae)</w:t>
      </w:r>
      <w:proofErr w:type="spellStart"/>
      <w:r w:rsidR="00780DEE">
        <w:t xml:space="preserve"> :114</w:t>
      </w:r>
      <w:proofErr w:type="spellEnd"/>
      <w:r w:rsidR="00780DEE">
        <w:t xml:space="preserve"> (2007)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Replacement name   Source. Seigler &amp;amp; Ebinger (2009: 28)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lowei</w:t>
      </w:r>
      <w:proofErr w:type="spellEnd"/>
      <w:r>
        <w:t xml:space="preserve"> (L.Rico)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plumosa</w:t>
      </w:r>
      <w:r>
        <w:t xml:space="preserve"> Lowe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