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limae</w:t>
      </w:r>
      <w:r>
        <w:t xml:space="preserve"> (Bocage &amp; Miotto) L.P.Queiroz</w:t>
      </w:r>
      <w:r w:rsidR="00780DEE" w:rsidRPr="00780DEE">
        <w:rPr>
          <w:i/>
        </w:rPr>
        <w:t xml:space="preserve"> Leguminosas da Caatinga</w:t>
      </w:r>
      <w:proofErr w:type="spellStart"/>
      <w:r w:rsidR="00780DEE">
        <w:t xml:space="preserve"> :198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D. Seigler (pers. comm., 2015)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lasiophylla</w:t>
      </w:r>
      <w:proofErr w:type="spellEnd"/>
      <w:r>
        <w:t xml:space="preserve"> (Benth.)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Senegalia limae is treated as a distinct species by Barros &amp; Morim (2014: 465) and Morim &amp; Barros (2015).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limae</w:t>
      </w:r>
      <w:r>
        <w:t xml:space="preserve"> Bocage &amp; Miotto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