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sarcophylla</w:t>
      </w:r>
      <w:r>
        <w:t xml:space="preserve">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1:161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Boulos (1995: 334)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oerfota</w:t>
      </w:r>
      <w:proofErr w:type="spellEnd"/>
      <w:r>
        <w:t xml:space="preserve"> (Boulos)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Migiurtini, near Hordio, Puccioni &amp; Stefanini 630 (FI); isotype: BM - drawing</w:t>
      </w:r>
      <w:proofErr w:type="spellEnd"/>
      <w:r w:rsidRPr="009A6983">
        <w:rPr>
          <w:b/>
        </w:rPr>
        <w:t xml:space="preserve"> Source:</w:t>
      </w:r>
      <w:r>
        <w:t xml:space="preserve"> Ross (1979: 137); Boulos (1995: 334)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name was treated as a distinct species by Ross (1979: 138) and Thulin (1993: 382).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