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nilotica</w:t>
      </w:r>
      <w:r>
        <w:t xml:space="preserve"> L.</w:t>
      </w:r>
      <w:r w:rsidR="00780DEE" w:rsidRPr="00780DEE">
        <w:rPr>
          <w:i/>
        </w:rPr>
        <w:t xml:space="preserve"> Sp. Pl.</w:t>
      </w:r>
      <w:proofErr w:type="spellStart"/>
      <w:r w:rsidR="00780DEE">
        <w:t xml:space="preserve"> 1:521</w:t>
      </w:r>
      <w:proofErr w:type="spellEnd"/>
      <w:r w:rsidR="00780DEE">
        <w:t xml:space="preserve"> (1753)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Hurter &amp;amp; Mabberley in Mabberley (2008: 1021)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"Habitat in Aegypto, unde semina per D. Hasselquist"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Fawcett &amp; Rendle 1920: 140): Egypt, Hasselquist s.n. in Herb. Linn. 1228.28 (LINN); isolectotype: Herb. Linn. 214.7</w:t>
      </w:r>
      <w:proofErr w:type="spellEnd"/>
      <w:r w:rsidRPr="009A6983">
        <w:rPr>
          <w:b/>
        </w:rPr>
        <w:t xml:space="preserve"> Source:</w:t>
      </w:r>
      <w:r>
        <w:t xml:space="preserve"> Jarvis (2007: 676); Hurter &amp; Mabberley in Mabberley (2008: 1021); Seigler et al. (2014: 104)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'nolitica'.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