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eburnea</w:t>
      </w:r>
      <w:r>
        <w:t xml:space="preserve"> L.f.</w:t>
      </w:r>
      <w:r w:rsidR="00780DEE" w:rsidRPr="00780DEE">
        <w:rPr>
          <w:i/>
        </w:rPr>
        <w:t xml:space="preserve"> Suppl. Pl.</w:t>
      </w:r>
      <w:proofErr w:type="spellStart"/>
      <w:r w:rsidR="00780DEE">
        <w:t xml:space="preserve"> :437</w:t>
      </w:r>
      <w:proofErr w:type="spellEnd"/>
      <w:r w:rsidR="00780DEE">
        <w:t xml:space="preserve"> (1782 [dated '1781'])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Hurter &amp;amp; Mabberley in Mabberley (2008: 1021)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eburnea</w:t>
      </w:r>
      <w:proofErr w:type="spellEnd"/>
      <w:r>
        <w:t xml:space="preserve"> (L.f.) P.J.H.Hurter &amp; Mabb.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Hurter &amp; Mabberley in Mabberley 2008: 1021): India, Koenig s.n. in [received 1777] Herb. Linn. 1228/24 (LINN)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