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isoneurum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isoneurum</w:t>
      </w:r>
      <w:proofErr w:type="spellEnd"/>
      <w:r>
        <w:t xml:space="preserve"> (Maslin &amp; A.R.Chapm.)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isoneura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isoneura</w:t>
      </w:r>
      <w:proofErr w:type="spellEnd"/>
      <w:r>
        <w:t xml:space="preserve"> Maslin &amp; A.R.Chapm.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isoneurum subsp. nimia (Maslin &amp; A.R.Chapm.) Pedley 2003 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isoneura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