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simplex</w:t>
      </w:r>
      <w:r>
        <w:t xml:space="preserve"> (Sparrm.)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Maslin &amp;amp; Thomson (2020, unpublished)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simplex</w:t>
      </w:r>
      <w:proofErr w:type="spellEnd"/>
      <w:r>
        <w:t xml:space="preserve"> (Sparrm.)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simplex</w:t>
      </w:r>
      <w:r>
        <w:t xml:space="preserve"> Sparrm.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