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reficiens</w:t>
      </w:r>
      <w:r>
        <w:t xml:space="preserve"> Wawra</w:t>
      </w:r>
      <w:r w:rsidR="00780DEE" w:rsidRPr="00780DEE">
        <w:rPr>
          <w:i/>
        </w:rPr>
        <w:t xml:space="preserve"> Sitzungsber. Kaiserl. Akad. Wiss. Wien, Math.-Naturwiss. Cl.</w:t>
      </w:r>
      <w:proofErr w:type="spellStart"/>
      <w:r w:rsidR="00780DEE">
        <w:t xml:space="preserve"> 38:555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between Benguela and Catumbela, Wawra 248 (W); isotype: K - fragment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gives the authorship of this name as Wawra &amp; Peyritsch, however, in the publication the description of plants under the heading Polypetalae says "Auctore Wawra".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