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kirkii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kirkii</w:t>
      </w:r>
      <w:proofErr w:type="spellEnd"/>
      <w:r>
        <w:t xml:space="preserve"> Oliv.</w:t>
      </w:r>
      <w:r w:rsidR="00780DEE" w:rsidRPr="00780DEE">
        <w:rPr>
          <w:i/>
        </w:rPr>
        <w:t xml:space="preserve"> Fl. Trop. Afr.</w:t>
      </w:r>
      <w:proofErr w:type="spellStart"/>
      <w:r w:rsidR="00780DEE">
        <w:t xml:space="preserve"> 2:350</w:t>
      </w:r>
      <w:proofErr w:type="spellEnd"/>
      <w:r w:rsidR="00780DEE">
        <w:t xml:space="preserve"> (1871)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Brenan (1958: 363)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kirkii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kirkii</w:t>
      </w:r>
      <w:proofErr w:type="spellEnd"/>
      <w:r>
        <w:t xml:space="preserve"> (Oliv.)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Acacia kirkii Oliv. subsp. kirkii var. kirkii. Autonym established by the publication of Acacia kirkii subsp. kirkii var. sublaevis Brenan (1958).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