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nilotica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kraussiana</w:t>
      </w:r>
      <w:proofErr w:type="spellEnd"/>
      <w:r>
        <w:t xml:space="preserve"> (Benth.)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12:84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Kyalangalilwa et al. (2013: 515)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nilotica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kraussiana</w:t>
      </w:r>
      <w:proofErr w:type="spellEnd"/>
      <w:r>
        <w:t xml:space="preserve"> (Benth.)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arabica</w:t>
      </w:r>
      <w:r>
        <w:t xml:space="preserve"> var.</w:t>
      </w:r>
      <w:r w:rsidRPr="00815E7D">
        <w:rPr>
          <w:i/>
        </w:rPr>
        <w:t xml:space="preserve"> kraussiana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