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nilotica</w:t>
      </w:r>
      <w:proofErr w:type="spellEnd"/>
      <w:r>
        <w:t xml:space="preserve"> (L.) Willd. ex. Delile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12:84-86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Deshpande (2019: 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nilotica</w:t>
      </w:r>
      <w:proofErr w:type="spellEnd"/>
      <w:r>
        <w:t xml:space="preserve"> (L.) P.J.H.Hurter &amp; Mabb.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nilotica subsp. tomentosa and five other subspecies by Brenan in Kew Bull. 12: 84-86 (1957).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nilotica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