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haematoxylon</w:t>
      </w:r>
      <w:r>
        <w:t xml:space="preserve"> Willd.</w:t>
      </w:r>
      <w:r w:rsidR="00780DEE" w:rsidRPr="00780DEE">
        <w:rPr>
          <w:i/>
        </w:rPr>
        <w:t xml:space="preserve"> Enum. Pl.</w:t>
      </w:r>
      <w:proofErr w:type="spellStart"/>
      <w:r w:rsidR="00780DEE">
        <w:t xml:space="preserve"> :1056</w:t>
      </w:r>
      <w:proofErr w:type="spellEnd"/>
      <w:r w:rsidR="00780DEE">
        <w:t xml:space="preserve"> (1809)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haematoxylon</w:t>
      </w:r>
      <w:proofErr w:type="spellEnd"/>
      <w:r>
        <w:t xml:space="preserve"> (Willd.)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Cape Province, Lichtenstein s.n. sub. Herb. Willdenow 19186 (B)</w:t>
      </w:r>
      <w:proofErr w:type="spellEnd"/>
      <w:r w:rsidRPr="009A6983">
        <w:rPr>
          <w:b/>
        </w:rPr>
        <w:t xml:space="preserve"> Source:</w:t>
      </w:r>
      <w:r>
        <w:t xml:space="preserve"> Ross (1979: 104)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