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hirta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shrevei</w:t>
      </w:r>
      <w:proofErr w:type="spellEnd"/>
      <w:r>
        <w:t xml:space="preserve"> (Britton &amp; Rose) Kearney &amp; Peebles</w:t>
      </w:r>
      <w:r w:rsidR="00780DEE" w:rsidRPr="00780DEE">
        <w:rPr>
          <w:i/>
        </w:rPr>
        <w:t xml:space="preserve"> J. Wash. Acad. Sci.</w:t>
      </w:r>
      <w:proofErr w:type="spellStart"/>
      <w:r w:rsidR="00780DEE">
        <w:t xml:space="preserve"> 29:482</w:t>
      </w:r>
      <w:proofErr w:type="spellEnd"/>
      <w:r w:rsidR="00780DEE">
        <w:t xml:space="preserve"> (1939)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217)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lemmonii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(Rose)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Acaciella shrevei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