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Manganaroa subsericea</w:t>
      </w:r>
      <w:r>
        <w:t xml:space="preserve"> Speg.</w:t>
      </w:r>
      <w:r w:rsidR="00780DEE" w:rsidRPr="00780DEE">
        <w:rPr>
          <w:i/>
        </w:rPr>
        <w:t xml:space="preserve"> Bol. Acad. Nac. Ci. Republ. Argent.</w:t>
      </w:r>
      <w:proofErr w:type="spellStart"/>
      <w:r w:rsidR="00780DEE">
        <w:t xml:space="preserve"> 26:267</w:t>
      </w:r>
      <w:proofErr w:type="spellEnd"/>
      <w:r w:rsidR="00780DEE">
        <w:t xml:space="preserve"> (1922)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(2017: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r>
        <w:t xml:space="preserve"> (Lorentz ex Griseb.)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et al. 2006): Argentina. Salta: In dumetis montanis praeandinis, locis Quebrada de Guachipas et Pampa grande vocatis, C.L. Spegazzini s.n. (LPS 14305 [barcode LP001053]); isolectotype: LP [barcode LP001054]. Syntype: Province Buenos Aires, La Plata, Jardín Botánico “Facultad de Agron.”, C. Spegazzini s.n. (LPS 14304)</w:t>
      </w:r>
      <w:proofErr w:type="spellEnd"/>
      <w:r w:rsidRPr="009A6983">
        <w:rPr>
          <w:b/>
        </w:rPr>
        <w:t xml:space="preserve"> Source:</w:t>
      </w:r>
      <w:r>
        <w:t xml:space="preserve"> Seigler et al. (2017: 194, 196)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Seigler et al. (2006: 78) note: "See Cialdella (1984, 1997) and Gutiérrez et al. (2002) for further information on the type. In the opinion of the latter authors, both [the lectotype and paralectotype] specimens may represent the same accession of plant material.".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