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platensis</w:t>
      </w:r>
      <w:r>
        <w:t xml:space="preserve"> Manganaro</w:t>
      </w:r>
      <w:r w:rsidR="00780DEE" w:rsidRPr="00780DEE">
        <w:rPr>
          <w:i/>
        </w:rPr>
        <w:t xml:space="preserve"> Anales Soc. Ci. Argent.</w:t>
      </w:r>
      <w:proofErr w:type="spellStart"/>
      <w:r w:rsidR="00780DEE">
        <w:t xml:space="preserve"> 87:128</w:t>
      </w:r>
      <w:proofErr w:type="spellEnd"/>
      <w:r w:rsidR="00780DEE">
        <w:t xml:space="preserve"> (1919)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et al. (2017: 194)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Parasenegalia visco</w:t>
      </w:r>
      <w:proofErr w:type="spellEnd"/>
      <w:r>
        <w:t xml:space="preserve"> (Lorentz ex Griseb.)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Cialdella 1984: 94): Argentina (LP [barcode LPS24314])</w:t>
      </w:r>
      <w:proofErr w:type="spellEnd"/>
      <w:r w:rsidRPr="009A6983">
        <w:rPr>
          <w:b/>
        </w:rPr>
        <w:t xml:space="preserve"> Source:</w:t>
      </w:r>
      <w:r>
        <w:t xml:space="preserve"> Seigler et al. (2017: 194)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See note in Seigler et al. (2017: 196) regarding lectotype.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